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038F9" w:rsidRDefault="00536C61" w:rsidP="00C038F9">
      <w:pPr>
        <w:spacing w:line="360" w:lineRule="auto"/>
        <w:jc w:val="center"/>
        <w:rPr>
          <w:rFonts w:ascii="ScalaSansPro-Regular" w:eastAsia="ScalaSansPro-Regular" w:hAnsi="ScalaSansPro-Regular"/>
          <w:b/>
          <w:bCs/>
          <w:sz w:val="24"/>
          <w:szCs w:val="24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C038F9">
        <w:rPr>
          <w:rFonts w:ascii="ScalaSansPro-Regular" w:eastAsia="ScalaSansPro-Regular" w:hAnsi="ScalaSansPro-Regular"/>
          <w:b/>
          <w:bCs/>
          <w:sz w:val="24"/>
          <w:szCs w:val="24"/>
        </w:rPr>
        <w:t xml:space="preserve">usługę obejmującą przygotowanie i przeprowadzenie szkolenia zamkniętego dla pracowników Akademii Sztuk Pięknych w Katowicach z zakresu zamówień publicznych oraz praktyczne warsztaty korzystania z platformy </w:t>
      </w:r>
      <w:proofErr w:type="spellStart"/>
      <w:r w:rsidR="00C038F9">
        <w:rPr>
          <w:rFonts w:ascii="ScalaSansPro-Regular" w:eastAsia="ScalaSansPro-Regular" w:hAnsi="ScalaSansPro-Regular"/>
          <w:b/>
          <w:bCs/>
          <w:sz w:val="24"/>
          <w:szCs w:val="24"/>
        </w:rPr>
        <w:t>ePUAP</w:t>
      </w:r>
      <w:proofErr w:type="spellEnd"/>
      <w:r w:rsidR="00C038F9">
        <w:rPr>
          <w:rFonts w:ascii="ScalaSansPro-Regular" w:eastAsia="ScalaSansPro-Regular" w:hAnsi="ScalaSansPro-Regular"/>
          <w:b/>
          <w:bCs/>
          <w:sz w:val="24"/>
          <w:szCs w:val="24"/>
        </w:rPr>
        <w:t>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bookmarkStart w:id="0" w:name="_GoBack"/>
      <w:bookmarkEnd w:id="0"/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21" w:rsidRDefault="00192F21" w:rsidP="00025C6D">
      <w:r>
        <w:separator/>
      </w:r>
    </w:p>
  </w:endnote>
  <w:endnote w:type="continuationSeparator" w:id="0">
    <w:p w:rsidR="00192F21" w:rsidRDefault="00192F2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C038F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C038F9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C038F9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21" w:rsidRDefault="00192F21" w:rsidP="00025C6D">
      <w:r>
        <w:separator/>
      </w:r>
    </w:p>
  </w:footnote>
  <w:footnote w:type="continuationSeparator" w:id="0">
    <w:p w:rsidR="00192F21" w:rsidRDefault="00192F21" w:rsidP="0002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4D" w:rsidRPr="00871F7B" w:rsidRDefault="00871F7B" w:rsidP="00F3365F">
    <w:pPr>
      <w:pStyle w:val="Nagwek"/>
      <w:rPr>
        <w:rFonts w:ascii="ScalaSansPro-Regular" w:hAnsi="ScalaSansPro-Regular"/>
      </w:rPr>
    </w:pPr>
    <w:r w:rsidRPr="00871F7B">
      <w:rPr>
        <w:rFonts w:ascii="ScalaSansPro-Regular" w:hAnsi="ScalaSansPro-Regular"/>
      </w:rPr>
      <w:t>ASP-DAT-2312 -      /19</w:t>
    </w:r>
    <w:r w:rsidRPr="00871F7B">
      <w:rPr>
        <w:rFonts w:ascii="ScalaSansPro-Regular" w:hAnsi="ScalaSansPro-Regular"/>
      </w:rPr>
      <w:tab/>
    </w:r>
    <w:r w:rsidRPr="00871F7B">
      <w:rPr>
        <w:rFonts w:ascii="ScalaSansPro-Regular" w:hAnsi="ScalaSansPro-Regular"/>
      </w:rPr>
      <w:tab/>
      <w:t xml:space="preserve">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0C54D7"/>
    <w:rsid w:val="00192F21"/>
    <w:rsid w:val="001D6951"/>
    <w:rsid w:val="001F5498"/>
    <w:rsid w:val="002E181E"/>
    <w:rsid w:val="003F27D7"/>
    <w:rsid w:val="005008DB"/>
    <w:rsid w:val="00536C61"/>
    <w:rsid w:val="00583F03"/>
    <w:rsid w:val="0059159A"/>
    <w:rsid w:val="005D32FD"/>
    <w:rsid w:val="00696A35"/>
    <w:rsid w:val="006E67D1"/>
    <w:rsid w:val="00760678"/>
    <w:rsid w:val="00771267"/>
    <w:rsid w:val="00794551"/>
    <w:rsid w:val="007957BA"/>
    <w:rsid w:val="007C7054"/>
    <w:rsid w:val="00871F7B"/>
    <w:rsid w:val="009958CC"/>
    <w:rsid w:val="009E6073"/>
    <w:rsid w:val="00A53FE6"/>
    <w:rsid w:val="00AB2A96"/>
    <w:rsid w:val="00C038F9"/>
    <w:rsid w:val="00C148DC"/>
    <w:rsid w:val="00CB1191"/>
    <w:rsid w:val="00D2131F"/>
    <w:rsid w:val="00D43771"/>
    <w:rsid w:val="00DB51A5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F7DD96"/>
  <w15:docId w15:val="{69B254CE-2560-4A46-A364-D8220D8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3317-443D-43AF-BF7F-B68175C4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4</cp:revision>
  <cp:lastPrinted>2017-08-29T12:22:00Z</cp:lastPrinted>
  <dcterms:created xsi:type="dcterms:W3CDTF">2019-08-14T10:05:00Z</dcterms:created>
  <dcterms:modified xsi:type="dcterms:W3CDTF">2019-08-14T10:50:00Z</dcterms:modified>
</cp:coreProperties>
</file>